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LISTA DE VERIFICAÇÃO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PROCESSO ADM.:______/________.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/>
      </w:pPr>
      <w:r w:rsidDel="00000000" w:rsidR="00000000" w:rsidRPr="00000000">
        <w:rPr>
          <w:b w:val="1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Aquisição de Materiais para  Laboratório de Ciências destinado a Escola Municipal Moacyr Castanho.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0.0" w:type="dxa"/>
        <w:jc w:val="left"/>
        <w:tblInd w:w="-1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2"/>
        <w:gridCol w:w="2667"/>
        <w:gridCol w:w="2081"/>
        <w:tblGridChange w:id="0">
          <w:tblGrid>
            <w:gridCol w:w="4952"/>
            <w:gridCol w:w="2667"/>
            <w:gridCol w:w="2081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VERIFICAÇÃO COMUM A TODAS AS CONTRATAÇÕES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Atende plenamente a exigência?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Indicação do local do processo em que foi atendida a exigência (doc./ fls.)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 Houve abertura de processo administrativo?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4. Foi certificado o atendimento do princípio da segregação de funções?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5. Consta documento de formalização de demanda?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6. Foi certificado que objeto da contratação está contemplado no Plano de Contratações Anual?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7. Foi certificado que objeto da contratação está compatível com a Lei de Diretrizes Orçamentárias?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8. Há Estudo Técnico Preliminar?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9. O Estudo Técnico Preliminar contempla ao 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10. Há Análise de Riscos?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11. Consta justificativa para a ausência dos itens não obrigatórios dos Estudos Técnicos Preliminares?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12. Houve manifestação justificando as exigências de práticas e/ou critérios de sustentabilidade ou sua dispensa no caso concreto?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13. Há termo de referência?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14. Foi certificada a utilização do Sistema TR Digital ou o atendimento das regras e procedimentos da IN ME 81/2022?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15. Foi certificada a utilização de modelos de minutas padronizados de Termos de Referência da Advocacia-Geral União, ou as contidas no catálogo eletrônico de padronização, ou houve justificativa para sua não utilização?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16. Sendo adotado modelo padronizado de termo de referência, foram justificadas e destacadas visualmente, no processo, eventuais alterações?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18. O TR contempla definição do objeto, fundamentação da contratação, descrição da 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19. Caso o TR contemple exigências de qualificação técnica ou econômica, elas foram justificadas no processo?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20. Caso o TR contemple exigências de qualificação técnica, elas são específicas e objetivas?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21. Caso o TR contemple exigências de qualificação técnica ou econômica e o objeto licitatório refira-se a contratações 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dispensá-las?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22. Ao final da elaboração do TR, houve avaliação quanto à necessidade de classificá-lo nos termos da Lei nº 12.527, de 18 de novembro de 2011?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23. Foram utilizados os modelos padronizados de instrumentos contratuais da Procuradoria Geral do Município, com eventuais alterações destacadas e justificadas?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24. Os autos estão instruídos com o edital da licitação?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26. Caso o objeto contemple itens com valores inferiores a R$80.000,00, eles foram destinados às ME/EPPs e entidades equiparadas ou foi justificada a não exclusividade?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28. Caso tenha sido vedada a participação de cooperativas, consta justificativa nos autos?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29. Caso tenha sido vedada a participação de consórcios, consta justificativa nos autos?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90.0" w:type="dxa"/>
        <w:jc w:val="left"/>
        <w:tblInd w:w="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20"/>
        <w:gridCol w:w="2685"/>
        <w:gridCol w:w="2085"/>
        <w:tblGridChange w:id="0">
          <w:tblGrid>
            <w:gridCol w:w="4920"/>
            <w:gridCol w:w="2685"/>
            <w:gridCol w:w="2085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VERIFICAÇÃO RELATIVA À PESQUISA DE PREÇOS E ÀS QUESTÕES ORÇAMENTÁRIAS PARA COMPRAS E SERVIÇOS EM GERAL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Atende plenamente a exigência?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Indicação do local do processo em que foi atendida a exigência (doc./ fls.)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30. Consta orçamento estimado com as composições detalhadas dos preços utilizados para sua formação?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31. Foi certificado que o valor previamente estimado da contratação está compatível com os valores praticados pelo mercado, considerados os preços constantes de bancos de dados públicos e as quantidades a serem contratadas, observadas a potencial economia de escala e as peculiaridades do local de execução do objeto?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32. Foi certificado que o estimado preço foi obtido com base em pelo menos três preços ou houve justificativa pelo gestor responsável e aprovada pela autoridade competente para a hipótese excepcional em que não for respeitado referido número mínimo?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32. Caso o preço tenha sido obtido unicamente com base nos sistemas oficiais de governo, como Painel de Preços ou banco de preços em saúde, foi certificado que o valor estimado não é superior à mediana do item nos sistemas consultados?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33. A pesquisa de preços contém, no mínimo, I - descrição do objeto a ser contratado; II - identificação do(s) agente(s) responsável(is) pela pesquisa ou, se for o caso, da equipe de planejamento; III - caracterização das fontes consultadas; IV - série de preços coletados; V - método estatístico aplicado para a definição do valor estimado; VI - justificativas para a metodologia utilizada, em especial para a desconsideração de valores inconsistentes, inexequíveis ou excessivamente elevados, se aplicável; VII - memória de cálculo do valor estimado e documentos que lhe dão suporte; e VIII - justificativa da escolha dos fornecedores?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34. Foi certificado que foram priorizados na pesquisa de preços os sistemas oficiais de governo, como Painel de Preços ou banco de preços em saúde, e contratações similares feitas pela Administração Pública, ou justificada a impossibilidade de utilização dessas fontes?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35. Caso a pesquisa tenha se baseado em contratações similares feitas pela Administração Pública e já concluídas, a conclusão ocorreu em prazo inferior a 1 (um) ano à data da pesquisa de preços ou houve a devida justificativa para a utilização excepcional de preços de contratação concluída há mais de um ano?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36. Nos casos de utilização de pesquisa direta com fornecedores, na hipótese em que ela for cabível, foi observado o número mínimo de consulta a três fornecedores ou foram instruídos os autos com as devidas justificativas?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37. Nos casos de utilização de pesquisa direta com fornecedores, foi certificada a observância de os orçamentos obtidos serem datados no máximo com 6 meses de antecedência da data prevista para divulgação do edital ou certificado que haverá a devida atualização caso ultrapassado esse prazo?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C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38. Caso realizada pesquisa direta com fornecedores, foi certificado que que o prazo de resposta concedido foi compatível com a complexidade do objeto da licitação?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39. Caso realizada pesquisa direta com fornecedores, foi certificado que os orçamentos contêm: a) descrição do objeto, valor unitário e total; b) número do Cadastro de Pessoa Física - CPF ou do Cadastro Nacional de Pessoa Jurídica - CNPJ do proponente; c) endereços físico e eletrônico e telefone de contato; d) data de emissão; e e) nome completo e identificação do responsável?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40. Caso realizada pesquisa direta com fornecedores, foi certificado que a consulta conteve informação das características: I - </w:t>
            </w:r>
            <w:r w:rsidDel="00000000" w:rsidR="00000000" w:rsidRPr="00000000">
              <w:rPr>
                <w:highlight w:val="white"/>
                <w:rtl w:val="0"/>
              </w:rPr>
              <w:t xml:space="preserve">condições comerciais praticadas, incluindo prazos e locais de entrega; II - instalação e montagem do bem ou execução do serviço, quantidade contratada, formas e prazos de pagamento; III - fretes, garantias exigidas e marcas e modelos, quando for o caso, observadas a potencial economia de escala e as peculiaridades do local de execução do objeto</w:t>
            </w:r>
            <w:r w:rsidDel="00000000" w:rsidR="00000000" w:rsidRPr="00000000">
              <w:rPr>
                <w:rtl w:val="0"/>
              </w:rPr>
              <w:t xml:space="preserve">, com vistas à melhor caracterização das condições comerciais praticadas para o objeto a ser contratado?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41. Caso realizada pesquisa direta com fornecedores, consta dos autos a relação de fornecedores que foram consultados e não enviaram propostas como resposta à solicitação feita?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42. Consta dos autos a motivação sobre o momento da divulgação do orçamento da licitação?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Sim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43. Tratando-se de contratação que envolva a criação, expansão ou aperfeiçoamento de ação governamental que acarrete aumento da despesa, constam dos autos estimativa do impacto orçamentário-financeiro e declaração sobre adequação orçamentária e financeira?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X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widowControl w:val="0"/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widowControl w:val="0"/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700.0" w:type="dxa"/>
        <w:jc w:val="left"/>
        <w:tblInd w:w="-1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29"/>
        <w:gridCol w:w="2690"/>
        <w:gridCol w:w="2081"/>
        <w:tblGridChange w:id="0">
          <w:tblGrid>
            <w:gridCol w:w="4929"/>
            <w:gridCol w:w="2690"/>
            <w:gridCol w:w="2081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76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VERIFICAÇÃO ESPECÍFICA PARA AQUISIÇÕES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Atende plenamente a exigência?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Indicação do local do processo em que foi atendida a exigência (doc./fls.)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44. Se o objeto a ser contratado for bem de consumo, foi certificado que não se enquadra como bem de luxo?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45. Foi certificado que a aquisição e pagamento observarão condições semelhantes às do setor privado ou houve justificativa para não observância dessas condições?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46. Há justificativa para não utilização de sistema de registro de preços?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47. Foi certificado que a determinação do quantitativo a ser adquirido considerou a estimativa de consumo e utilização prováveis, com base em técnica adequada?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48. Há manifestação sobre o atendimento do princípio da padronização?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49. Há manifestação sobre o atendimento do princípio do parcelamento?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50. Caso o objeto contemple item de aquisição de bens de natureza divisível, com valor superior a R$80.000,00, foi prevista a cota reservada ou justificada sua não previsão?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51. No caso da cota reservada, a divisão do quantitativo destinado à cota procurou observar o limite percentual de até 25% do total, independentemente do valor da cota?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1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52. Há manifestação sobre a compatibilidade da despesa estimada com a prevista nas leis orçamentárias?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53. Consta informação do uso ou justificativa para não utilização de catálogo eletrônico de padronização?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54. Caso haja indicação de marca ou modelo, consta justificativa para a indicação?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55. Havendo vedação de determinada marca ou produto, foi indicada a existência de processo administrativo em que esteja comprovado que não atendem às necessidades da Administração?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56. Há certificação no ETP ou nos autos de que a opção pela aquisição é mais vantajosa do que eventuais alternativas, como a locação de bens?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widowControl w:val="0"/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widowControl w:val="0"/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700.0" w:type="dxa"/>
        <w:jc w:val="left"/>
        <w:tblInd w:w="-1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29"/>
        <w:gridCol w:w="2690"/>
        <w:gridCol w:w="2081"/>
        <w:tblGridChange w:id="0">
          <w:tblGrid>
            <w:gridCol w:w="4929"/>
            <w:gridCol w:w="2690"/>
            <w:gridCol w:w="2081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spacing w:line="276" w:lineRule="auto"/>
              <w:ind w:left="0" w:hanging="2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VERIFICAÇÃO ESPECÍFICA PARA CONTRATAÇÃO DE SERVIÇOS EM GERAL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Atende plenamente a exigência?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Indicação do local do processo em que foi atendida a exigência (doc./fls.)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57. Houve manifestação quanto à observância do princípio da padronização?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58. Houve manifestação quanto à observância do princípio do parcelamento?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59. Consta informação do uso ou justificativa para não utilização de catálogo eletrônico de padronização?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60. Foi certificado que os serviços a serem contratados se enquadram como as atividades materiais acessórias, instrumentais ou complementares aos assuntos que constituam área de competência legal do órgão ou da entidade?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61. Tratando-se de serviços de manutenção e assistência técnica, o edital definiu o local da realização dos serviços?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4F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62. Caso o edital tenha previsto valores mínimos de salário, foi certificado que não houve fixação em valor inferior ao definido em lei ou ato normativo?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54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63. Foi observada a vedação de definir forma de pagamento mediante exclusivo reembolso dos salários pagos?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59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64. Foi observada a vedação de exigência que constitua intervenção indevida da Administração na gestão interna do contratado?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5E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65. Consta do edital que durante a vigência do contrato é vedado ao contratado contratar cônjuge, companheiro ou parente em linha reta, colateral ou por afinidade, até o terceiro grau, de dirigente do órgão ou entidade contratante ou de agente público que desempenhe função na licitação ou atue na fiscalização ou na gestão do contrato?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63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66. Caso a Administração pretenda contratar mais de uma empresa para a execução do objeto, está atestado nos autos que (i) não há perda de economia de escala, (ii) é possível e conveniente a execução simultânea e (iii) há controle individualizado para a execução de cada contratado?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Sim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</w:t>
            </w:r>
          </w:p>
          <w:p w:rsidR="00000000" w:rsidDel="00000000" w:rsidP="00000000" w:rsidRDefault="00000000" w:rsidRPr="00000000" w14:paraId="00000168">
            <w:pPr>
              <w:widowControl w:val="0"/>
              <w:spacing w:line="276" w:lineRule="auto"/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     ) Não se aplica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/>
      </w:pPr>
      <w:r w:rsidDel="00000000" w:rsidR="00000000" w:rsidRPr="00000000">
        <w:rPr>
          <w:rtl w:val="0"/>
        </w:rPr>
        <w:t xml:space="preserve">Bandeirantes, 04 de fevereiro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/>
      </w:pPr>
      <w:r w:rsidDel="00000000" w:rsidR="00000000" w:rsidRPr="00000000">
        <w:rPr>
          <w:rtl w:val="0"/>
        </w:rPr>
        <w:t xml:space="preserve">_____________________________</w:t>
      </w:r>
    </w:p>
    <w:p w:rsidR="00000000" w:rsidDel="00000000" w:rsidP="00000000" w:rsidRDefault="00000000" w:rsidRPr="00000000" w14:paraId="0000016F">
      <w:pPr>
        <w:ind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Aline Firmino Neves Vasconcelos</w:t>
      </w:r>
    </w:p>
    <w:p w:rsidR="00000000" w:rsidDel="00000000" w:rsidP="00000000" w:rsidRDefault="00000000" w:rsidRPr="00000000" w14:paraId="00000170">
      <w:pPr>
        <w:ind w:firstLine="0"/>
        <w:jc w:val="center"/>
        <w:rPr/>
      </w:pPr>
      <w:r w:rsidDel="00000000" w:rsidR="00000000" w:rsidRPr="00000000">
        <w:rPr>
          <w:rtl w:val="0"/>
        </w:rPr>
        <w:t xml:space="preserve">Secretária Municipal de Educação e Cultura</w:t>
      </w:r>
    </w:p>
    <w:p w:rsidR="00000000" w:rsidDel="00000000" w:rsidP="00000000" w:rsidRDefault="00000000" w:rsidRPr="00000000" w14:paraId="00000171">
      <w:pPr>
        <w:ind w:firstLine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ind w:firstLine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ind w:left="0" w:hanging="2"/>
        <w:jc w:val="both"/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9" w:w="11907" w:orient="portrait"/>
      <w:pgMar w:bottom="992" w:top="2409" w:left="1133" w:right="17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6">
    <w:pPr>
      <w:jc w:val="both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                             Rua Frei Rafael Proner  nº 1457 – Caixa Postal 281 – CEP 86.360-000 –– Tel: (43) 3542-4525 – Fax 3542-3322  e CNPJ 76.235.753/0001-48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-269236</wp:posOffset>
          </wp:positionH>
          <wp:positionV relativeFrom="paragraph">
            <wp:posOffset>-152396</wp:posOffset>
          </wp:positionV>
          <wp:extent cx="1003300" cy="1193800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749300</wp:posOffset>
              </wp:positionH>
              <wp:positionV relativeFrom="paragraph">
                <wp:posOffset>-152399</wp:posOffset>
              </wp:positionV>
              <wp:extent cx="6158865" cy="101917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285618" y="3289463"/>
                        <a:ext cx="6120765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360" w:line="240"/>
                            <w:ind w:left="2.0000000298023224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44"/>
                              <w:vertAlign w:val="baseline"/>
                            </w:rPr>
                            <w:t xml:space="preserve">PREFEITURA MUNICIPAL DE BANDEIRANTES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20" w:line="240"/>
                            <w:ind w:left="1.0000000149011612" w:right="0" w:firstLine="-1.0000000149011612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4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2"/>
                              <w:vertAlign w:val="baseline"/>
                            </w:rPr>
                            <w:t xml:space="preserve">ESTADO DO PARANÁ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lgerian" w:cs="Algerian" w:eastAsia="Algerian" w:hAnsi="Algerian"/>
                              <w:b w:val="0"/>
                              <w:i w:val="1"/>
                              <w:smallCaps w:val="0"/>
                              <w:strike w:val="0"/>
                              <w:color w:val="000000"/>
                              <w:sz w:val="3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749300</wp:posOffset>
              </wp:positionH>
              <wp:positionV relativeFrom="paragraph">
                <wp:posOffset>-152399</wp:posOffset>
              </wp:positionV>
              <wp:extent cx="6158865" cy="101917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58865" cy="1019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3969"/>
      <w:jc w:val="both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3969"/>
      <w:jc w:val="both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 w:val="1"/>
      <w:ind w:left="3969"/>
      <w:jc w:val="both"/>
    </w:pPr>
    <w:rPr>
      <w:b w:val="1"/>
      <w:szCs w:val="20"/>
      <w:u w:val="single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qFormat w:val="1"/>
    <w:pPr>
      <w:keepNext w:val="1"/>
      <w:spacing w:after="60" w:before="240"/>
      <w:outlineLvl w:val="2"/>
    </w:pPr>
    <w:rPr>
      <w:rFonts w:ascii="Calibri Light" w:hAnsi="Calibri Light"/>
      <w:b w:val="1"/>
      <w:bCs w:val="1"/>
      <w:sz w:val="26"/>
      <w:szCs w:val="26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 w:val="1"/>
      <w:sz w:val="25"/>
      <w:szCs w:val="28"/>
    </w:rPr>
  </w:style>
  <w:style w:type="paragraph" w:styleId="Cabealho">
    <w:name w:val="header"/>
    <w:basedOn w:val="Normal"/>
    <w:qFormat w:val="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 w:val="1"/>
    <w:pPr>
      <w:tabs>
        <w:tab w:val="center" w:pos="4252"/>
        <w:tab w:val="right" w:pos="8504"/>
      </w:tabs>
    </w:pPr>
  </w:style>
  <w:style w:type="character" w:styleId="RodapChar" w:customStyle="1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 w:val="1"/>
    <w:rPr>
      <w:rFonts w:ascii="Segoe UI" w:hAnsi="Segoe UI"/>
      <w:sz w:val="18"/>
      <w:szCs w:val="18"/>
    </w:rPr>
  </w:style>
  <w:style w:type="character" w:styleId="TextodebaloChar" w:customStyle="1">
    <w:name w:val="Texto de balão Char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Ttulo3Char" w:customStyle="1">
    <w:name w:val="Título 3 Char"/>
    <w:rPr>
      <w:rFonts w:ascii="Calibri Light" w:cs="Times New Roman" w:eastAsia="Times New Roman" w:hAnsi="Calibri Light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 w:val="1"/>
    <w:pPr>
      <w:spacing w:after="120"/>
      <w:ind w:left="283"/>
    </w:pPr>
    <w:rPr>
      <w:sz w:val="16"/>
      <w:szCs w:val="16"/>
    </w:rPr>
  </w:style>
  <w:style w:type="character" w:styleId="Recuodecorpodetexto3Char" w:customStyle="1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Nyala" w:cs="Nyala" w:eastAsia="Calibri" w:hAnsi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PargrafodaLista">
    <w:name w:val="List Paragraph"/>
    <w:basedOn w:val="Normal"/>
    <w:uiPriority w:val="34"/>
    <w:qFormat w:val="1"/>
    <w:rsid w:val="00306BA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UQYjdiwbk0hhCayteudDDhglyg==">CgMxLjA4AHIhMXlSU2VkbDN5WGVsTk5LdUV4eVdUM0tISHRVYUtUZ213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2023-06-13T11:24:00Z</dcterms:created>
  <dc:creator>x</dc:creator>
</cp:coreProperties>
</file>